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7769" w:rsidRPr="009C068F" w:rsidRDefault="00897769" w:rsidP="009C068F">
      <w:pPr>
        <w:spacing w:line="480" w:lineRule="auto"/>
        <w:rPr>
          <w:rFonts w:ascii="Times New Roman" w:hAnsi="Times New Roman" w:cs="Times New Roman"/>
          <w:sz w:val="24"/>
          <w:szCs w:val="24"/>
        </w:rPr>
      </w:pPr>
    </w:p>
    <w:p w:rsidR="00897769" w:rsidRPr="009C068F" w:rsidRDefault="00897769" w:rsidP="009C068F">
      <w:pPr>
        <w:spacing w:line="480" w:lineRule="auto"/>
        <w:rPr>
          <w:rFonts w:ascii="Times New Roman" w:hAnsi="Times New Roman" w:cs="Times New Roman"/>
          <w:sz w:val="24"/>
          <w:szCs w:val="24"/>
        </w:rPr>
      </w:pPr>
    </w:p>
    <w:p w:rsidR="00897769" w:rsidRDefault="00897769" w:rsidP="009C068F">
      <w:pPr>
        <w:spacing w:line="480" w:lineRule="auto"/>
        <w:rPr>
          <w:rFonts w:ascii="Times New Roman" w:hAnsi="Times New Roman" w:cs="Times New Roman"/>
          <w:sz w:val="24"/>
          <w:szCs w:val="24"/>
        </w:rPr>
      </w:pPr>
    </w:p>
    <w:p w:rsidR="003717E6" w:rsidRDefault="003717E6" w:rsidP="009C068F">
      <w:pPr>
        <w:spacing w:line="480" w:lineRule="auto"/>
        <w:rPr>
          <w:rFonts w:ascii="Times New Roman" w:hAnsi="Times New Roman" w:cs="Times New Roman"/>
          <w:sz w:val="24"/>
          <w:szCs w:val="24"/>
        </w:rPr>
      </w:pPr>
    </w:p>
    <w:p w:rsidR="003717E6" w:rsidRPr="009C068F" w:rsidRDefault="003717E6" w:rsidP="009C068F">
      <w:pPr>
        <w:spacing w:line="480" w:lineRule="auto"/>
        <w:rPr>
          <w:rFonts w:ascii="Times New Roman" w:hAnsi="Times New Roman" w:cs="Times New Roman"/>
          <w:sz w:val="24"/>
          <w:szCs w:val="24"/>
        </w:rPr>
      </w:pPr>
    </w:p>
    <w:p w:rsidR="00897769" w:rsidRPr="009C068F" w:rsidRDefault="00897769" w:rsidP="009C068F">
      <w:pPr>
        <w:spacing w:line="480" w:lineRule="auto"/>
        <w:rPr>
          <w:rFonts w:ascii="Times New Roman" w:hAnsi="Times New Roman" w:cs="Times New Roman"/>
          <w:sz w:val="24"/>
          <w:szCs w:val="24"/>
        </w:rPr>
      </w:pPr>
    </w:p>
    <w:p w:rsidR="00897769" w:rsidRPr="009C068F" w:rsidRDefault="00897769" w:rsidP="009C068F">
      <w:pPr>
        <w:spacing w:line="480" w:lineRule="auto"/>
        <w:rPr>
          <w:rFonts w:ascii="Times New Roman" w:hAnsi="Times New Roman" w:cs="Times New Roman"/>
          <w:sz w:val="24"/>
          <w:szCs w:val="24"/>
        </w:rPr>
      </w:pPr>
    </w:p>
    <w:p w:rsidR="00897769" w:rsidRPr="009C068F" w:rsidRDefault="00897769" w:rsidP="009C068F">
      <w:pPr>
        <w:spacing w:line="480" w:lineRule="auto"/>
        <w:jc w:val="center"/>
        <w:rPr>
          <w:rFonts w:ascii="Times New Roman" w:hAnsi="Times New Roman" w:cs="Times New Roman"/>
          <w:sz w:val="24"/>
          <w:szCs w:val="24"/>
        </w:rPr>
      </w:pPr>
      <w:r w:rsidRPr="009C068F">
        <w:rPr>
          <w:rFonts w:ascii="Times New Roman" w:hAnsi="Times New Roman" w:cs="Times New Roman"/>
          <w:sz w:val="24"/>
          <w:szCs w:val="24"/>
        </w:rPr>
        <w:t>Civil and Criminal Laws</w:t>
      </w:r>
    </w:p>
    <w:p w:rsidR="00897769" w:rsidRPr="009C068F" w:rsidRDefault="00897769" w:rsidP="009C068F">
      <w:pPr>
        <w:spacing w:line="480" w:lineRule="auto"/>
        <w:jc w:val="center"/>
        <w:rPr>
          <w:rFonts w:ascii="Times New Roman" w:hAnsi="Times New Roman" w:cs="Times New Roman"/>
          <w:sz w:val="24"/>
          <w:szCs w:val="24"/>
        </w:rPr>
      </w:pPr>
      <w:r w:rsidRPr="009C068F">
        <w:rPr>
          <w:rFonts w:ascii="Times New Roman" w:hAnsi="Times New Roman" w:cs="Times New Roman"/>
          <w:sz w:val="24"/>
          <w:szCs w:val="24"/>
        </w:rPr>
        <w:t>Name</w:t>
      </w:r>
    </w:p>
    <w:p w:rsidR="00897769" w:rsidRPr="009C068F" w:rsidRDefault="00897769" w:rsidP="009C068F">
      <w:pPr>
        <w:spacing w:line="480" w:lineRule="auto"/>
        <w:jc w:val="center"/>
        <w:rPr>
          <w:rFonts w:ascii="Times New Roman" w:hAnsi="Times New Roman" w:cs="Times New Roman"/>
          <w:sz w:val="24"/>
          <w:szCs w:val="24"/>
        </w:rPr>
      </w:pPr>
      <w:r w:rsidRPr="009C068F">
        <w:rPr>
          <w:rFonts w:ascii="Times New Roman" w:hAnsi="Times New Roman" w:cs="Times New Roman"/>
          <w:sz w:val="24"/>
          <w:szCs w:val="24"/>
        </w:rPr>
        <w:t>Institution</w:t>
      </w:r>
    </w:p>
    <w:p w:rsidR="00897769" w:rsidRPr="009C068F" w:rsidRDefault="00897769" w:rsidP="009C068F">
      <w:pPr>
        <w:spacing w:line="480" w:lineRule="auto"/>
        <w:jc w:val="center"/>
        <w:rPr>
          <w:rFonts w:ascii="Times New Roman" w:hAnsi="Times New Roman" w:cs="Times New Roman"/>
          <w:sz w:val="24"/>
          <w:szCs w:val="24"/>
        </w:rPr>
      </w:pPr>
      <w:r w:rsidRPr="009C068F">
        <w:rPr>
          <w:rFonts w:ascii="Times New Roman" w:hAnsi="Times New Roman" w:cs="Times New Roman"/>
          <w:sz w:val="24"/>
          <w:szCs w:val="24"/>
        </w:rPr>
        <w:t>Date</w:t>
      </w:r>
    </w:p>
    <w:p w:rsidR="00897769" w:rsidRPr="009C068F" w:rsidRDefault="00897769" w:rsidP="009C068F">
      <w:pPr>
        <w:spacing w:line="480" w:lineRule="auto"/>
        <w:rPr>
          <w:rFonts w:ascii="Times New Roman" w:hAnsi="Times New Roman" w:cs="Times New Roman"/>
          <w:sz w:val="24"/>
          <w:szCs w:val="24"/>
        </w:rPr>
      </w:pPr>
    </w:p>
    <w:p w:rsidR="00897769" w:rsidRPr="009C068F" w:rsidRDefault="00897769" w:rsidP="009C068F">
      <w:pPr>
        <w:spacing w:line="480" w:lineRule="auto"/>
        <w:rPr>
          <w:rFonts w:ascii="Times New Roman" w:hAnsi="Times New Roman" w:cs="Times New Roman"/>
          <w:sz w:val="24"/>
          <w:szCs w:val="24"/>
        </w:rPr>
      </w:pPr>
    </w:p>
    <w:p w:rsidR="00897769" w:rsidRPr="009C068F" w:rsidRDefault="00897769" w:rsidP="009C068F">
      <w:pPr>
        <w:spacing w:line="480" w:lineRule="auto"/>
        <w:rPr>
          <w:rFonts w:ascii="Times New Roman" w:hAnsi="Times New Roman" w:cs="Times New Roman"/>
          <w:sz w:val="24"/>
          <w:szCs w:val="24"/>
        </w:rPr>
      </w:pPr>
    </w:p>
    <w:p w:rsidR="00897769" w:rsidRPr="009C068F" w:rsidRDefault="00897769" w:rsidP="009C068F">
      <w:pPr>
        <w:spacing w:line="480" w:lineRule="auto"/>
        <w:rPr>
          <w:rFonts w:ascii="Times New Roman" w:hAnsi="Times New Roman" w:cs="Times New Roman"/>
          <w:sz w:val="24"/>
          <w:szCs w:val="24"/>
        </w:rPr>
      </w:pPr>
    </w:p>
    <w:p w:rsidR="00897769" w:rsidRPr="009C068F" w:rsidRDefault="00897769" w:rsidP="009C068F">
      <w:pPr>
        <w:spacing w:line="480" w:lineRule="auto"/>
        <w:rPr>
          <w:rFonts w:ascii="Times New Roman" w:hAnsi="Times New Roman" w:cs="Times New Roman"/>
          <w:sz w:val="24"/>
          <w:szCs w:val="24"/>
        </w:rPr>
      </w:pPr>
    </w:p>
    <w:p w:rsidR="009C068F" w:rsidRDefault="009C068F" w:rsidP="009C068F">
      <w:pPr>
        <w:spacing w:line="480" w:lineRule="auto"/>
        <w:jc w:val="center"/>
        <w:rPr>
          <w:rFonts w:ascii="Times New Roman" w:hAnsi="Times New Roman" w:cs="Times New Roman"/>
          <w:sz w:val="24"/>
          <w:szCs w:val="24"/>
        </w:rPr>
      </w:pPr>
    </w:p>
    <w:p w:rsidR="003717E6" w:rsidRDefault="003717E6" w:rsidP="009C068F">
      <w:pPr>
        <w:spacing w:line="480" w:lineRule="auto"/>
        <w:jc w:val="center"/>
        <w:rPr>
          <w:rFonts w:ascii="Times New Roman" w:hAnsi="Times New Roman" w:cs="Times New Roman"/>
          <w:sz w:val="24"/>
          <w:szCs w:val="24"/>
        </w:rPr>
      </w:pPr>
    </w:p>
    <w:p w:rsidR="00867DBC" w:rsidRPr="009C068F" w:rsidRDefault="00867DBC" w:rsidP="009C068F">
      <w:pPr>
        <w:spacing w:line="480" w:lineRule="auto"/>
        <w:jc w:val="center"/>
        <w:rPr>
          <w:rFonts w:ascii="Times New Roman" w:hAnsi="Times New Roman" w:cs="Times New Roman"/>
          <w:sz w:val="24"/>
          <w:szCs w:val="24"/>
        </w:rPr>
      </w:pPr>
      <w:r w:rsidRPr="009C068F">
        <w:rPr>
          <w:rFonts w:ascii="Times New Roman" w:hAnsi="Times New Roman" w:cs="Times New Roman"/>
          <w:sz w:val="24"/>
          <w:szCs w:val="24"/>
        </w:rPr>
        <w:lastRenderedPageBreak/>
        <w:t>Civil and Criminal Laws</w:t>
      </w:r>
    </w:p>
    <w:p w:rsidR="00897769" w:rsidRPr="009C068F" w:rsidRDefault="00897769" w:rsidP="003717E6">
      <w:pPr>
        <w:spacing w:line="480" w:lineRule="auto"/>
        <w:jc w:val="center"/>
        <w:rPr>
          <w:rFonts w:ascii="Times New Roman" w:hAnsi="Times New Roman" w:cs="Times New Roman"/>
          <w:b/>
          <w:sz w:val="24"/>
          <w:szCs w:val="24"/>
        </w:rPr>
      </w:pPr>
      <w:r w:rsidRPr="009C068F">
        <w:rPr>
          <w:rFonts w:ascii="Times New Roman" w:hAnsi="Times New Roman" w:cs="Times New Roman"/>
          <w:b/>
          <w:sz w:val="24"/>
          <w:szCs w:val="24"/>
        </w:rPr>
        <w:t>What does the term 'civil law' encompass in health care?</w:t>
      </w:r>
    </w:p>
    <w:p w:rsidR="00867DBC" w:rsidRPr="009C068F" w:rsidRDefault="00867DBC" w:rsidP="009C068F">
      <w:pPr>
        <w:spacing w:line="480" w:lineRule="auto"/>
        <w:ind w:firstLine="720"/>
        <w:rPr>
          <w:rFonts w:ascii="Times New Roman" w:hAnsi="Times New Roman" w:cs="Times New Roman"/>
          <w:sz w:val="24"/>
          <w:szCs w:val="24"/>
        </w:rPr>
      </w:pPr>
      <w:r w:rsidRPr="009C068F">
        <w:rPr>
          <w:rFonts w:ascii="Times New Roman" w:hAnsi="Times New Roman" w:cs="Times New Roman"/>
          <w:sz w:val="24"/>
          <w:szCs w:val="24"/>
        </w:rPr>
        <w:t xml:space="preserve">Civil laws in healthcare encompass the wrongful actions done either against individuals or organizations based on violations of contractual agreements. Civil law mainly focuses on disputes between people. In case a civil law is broken in the healthcare system, the plaintiff, who is the person claiming damages, raises charges against the defendant, who is the alleged offender. Damages to the plaintiff are paid in the form of money by the defendant (Pozgar, 2018). Civil laws comprise of torts and contracts. Whenever health care professionals fail to adhere to the established healthcare standards, such situations may give rise to a tort. A tort may involve physical or mental injuries as a result of intentional acts or negligence of duty. Medical malpractices such as failure of healthcare professionals to offer treatment to a patient, falling at healthcare premises, brain damage, or even death may give rise to a tort. </w:t>
      </w:r>
    </w:p>
    <w:p w:rsidR="00867DBC" w:rsidRPr="009C068F" w:rsidRDefault="00867DBC" w:rsidP="009C068F">
      <w:pPr>
        <w:spacing w:line="480" w:lineRule="auto"/>
        <w:ind w:firstLine="720"/>
        <w:rPr>
          <w:rFonts w:ascii="Times New Roman" w:hAnsi="Times New Roman" w:cs="Times New Roman"/>
          <w:sz w:val="24"/>
          <w:szCs w:val="24"/>
        </w:rPr>
      </w:pPr>
      <w:r w:rsidRPr="009C068F">
        <w:rPr>
          <w:rFonts w:ascii="Times New Roman" w:hAnsi="Times New Roman" w:cs="Times New Roman"/>
          <w:sz w:val="24"/>
          <w:szCs w:val="24"/>
        </w:rPr>
        <w:t xml:space="preserve">Another situation that may give rise to a tort is assault, which is an intentional act of threatening a patient. Healthcare professionals may conduct an operation or threaten to conduct an operation to a patient even after the patient declines the operation, thereby giving rise to an assault. Additionally, false imprisonment may give rise to a tort. For instance, whereby a healthcare professional decides to hoard a patient in a hospital when such a patient is not deemed to be bedridden, such a professional may face false imprisonment. Hall et.al. (2018), states that breach of healthcare contracts may also result in the application of civil law. Breach of contract in the healthcare system may arise when a contract is not performed subject to the agreement made between the healthcare professional and the patient. For instance, when a healthcare professional fails to offer to the patient, the healthcare services agreed upon or partly offers the services, this may result in a breach of contract. One practical example of civil law in the </w:t>
      </w:r>
      <w:r w:rsidRPr="009C068F">
        <w:rPr>
          <w:rFonts w:ascii="Times New Roman" w:hAnsi="Times New Roman" w:cs="Times New Roman"/>
          <w:sz w:val="24"/>
          <w:szCs w:val="24"/>
        </w:rPr>
        <w:lastRenderedPageBreak/>
        <w:t>healthcare system is the Health Insurance Portability and Accountability Act (HIPAA), whose main purposes include ensuring the privacy of health information, simplification of administrative procedures, and safeguarding of electronic health records.</w:t>
      </w:r>
    </w:p>
    <w:p w:rsidR="00897769" w:rsidRPr="009C068F" w:rsidRDefault="00897769" w:rsidP="003717E6">
      <w:pPr>
        <w:spacing w:line="480" w:lineRule="auto"/>
        <w:jc w:val="center"/>
        <w:rPr>
          <w:rFonts w:ascii="Times New Roman" w:hAnsi="Times New Roman" w:cs="Times New Roman"/>
          <w:b/>
          <w:sz w:val="24"/>
          <w:szCs w:val="24"/>
        </w:rPr>
      </w:pPr>
      <w:r w:rsidRPr="009C068F">
        <w:rPr>
          <w:rFonts w:ascii="Times New Roman" w:hAnsi="Times New Roman" w:cs="Times New Roman"/>
          <w:b/>
          <w:sz w:val="24"/>
          <w:szCs w:val="24"/>
        </w:rPr>
        <w:t>What does the concept of 'criminal law' encompass in health care?</w:t>
      </w:r>
    </w:p>
    <w:p w:rsidR="00867DBC" w:rsidRPr="009C068F" w:rsidRDefault="00867DBC" w:rsidP="009C068F">
      <w:pPr>
        <w:spacing w:line="480" w:lineRule="auto"/>
        <w:ind w:firstLine="720"/>
        <w:rPr>
          <w:rFonts w:ascii="Times New Roman" w:hAnsi="Times New Roman" w:cs="Times New Roman"/>
          <w:sz w:val="24"/>
          <w:szCs w:val="24"/>
        </w:rPr>
      </w:pPr>
      <w:r w:rsidRPr="009C068F">
        <w:rPr>
          <w:rFonts w:ascii="Times New Roman" w:hAnsi="Times New Roman" w:cs="Times New Roman"/>
          <w:sz w:val="24"/>
          <w:szCs w:val="24"/>
        </w:rPr>
        <w:t>Criminal law is a subset of public law that focuses on preventing criminal acts that may result in public disorders, and it provides the legal consequences for criminal actions. The application of criminal law implies the use of force and punishments. Examples of medical crimes that may give rise to the application of criminal law include cases of abortion, the violation of the medical profession code of ethics. Where a healthcare professional ignores to use safe injections and consequently results in the death of a patient, they may be charged with manslaughter (Carvalho, 2017). In criminal law, the prosecutor has to prove that the healthcare professional broke the healthcare standards beyond a reasonable doubt. In the United States, Medicare fraud may give rise to the application of criminal law. Medicare fraud includes healthcare professionals receiving kickbacks for certain services rendered or products provided, billing of services that were not performed, submitting duplicate bills in case a third party is paying for the patient, and manipulation of figures to higher values.</w:t>
      </w:r>
    </w:p>
    <w:p w:rsidR="00867DBC" w:rsidRPr="009C068F" w:rsidRDefault="00867DBC" w:rsidP="009C068F">
      <w:pPr>
        <w:spacing w:line="480" w:lineRule="auto"/>
        <w:ind w:firstLine="720"/>
        <w:rPr>
          <w:rFonts w:ascii="Times New Roman" w:hAnsi="Times New Roman" w:cs="Times New Roman"/>
          <w:sz w:val="24"/>
          <w:szCs w:val="24"/>
        </w:rPr>
      </w:pPr>
      <w:r w:rsidRPr="009C068F">
        <w:rPr>
          <w:rFonts w:ascii="Times New Roman" w:hAnsi="Times New Roman" w:cs="Times New Roman"/>
          <w:sz w:val="24"/>
          <w:szCs w:val="24"/>
        </w:rPr>
        <w:t xml:space="preserve">Another category that may be possible for criminal charges is medical malpractice which may include failure of healthcare professionals to observe confidentiality of patient's data, negligence of duty resulting in the death of physical injuries to the patient, practicing of healthcare without a license from relevant authorities, treating of patients without their authority and over-prescription of medicines like narcotic drugs. In addition, being in possession of harmful and illegal medications and helping patients to commit suicide may also lead to criminal charges. Criminal charges may apply to individuals, and therefore healthcare organizations may </w:t>
      </w:r>
      <w:r w:rsidRPr="009C068F">
        <w:rPr>
          <w:rFonts w:ascii="Times New Roman" w:hAnsi="Times New Roman" w:cs="Times New Roman"/>
          <w:sz w:val="24"/>
          <w:szCs w:val="24"/>
        </w:rPr>
        <w:lastRenderedPageBreak/>
        <w:t>not be criminally liable for a disability or demise of a patient. Criminal actions by healthcare professionals may lead to unperceived death, physical injuries, mental stress, and permanent damages, and this may lower the quality of life (Hall et.al. 2018). To prevent criminal charges, healthcare professionals should maintain the confidentiality of patient's data, ensure integrity in billing, acquire an operation license, and avoid over-prescription of drugs.</w:t>
      </w:r>
    </w:p>
    <w:p w:rsidR="00867DBC" w:rsidRPr="009C068F" w:rsidRDefault="00867DBC" w:rsidP="003717E6">
      <w:pPr>
        <w:spacing w:line="480" w:lineRule="auto"/>
        <w:jc w:val="center"/>
        <w:rPr>
          <w:rFonts w:ascii="Times New Roman" w:hAnsi="Times New Roman" w:cs="Times New Roman"/>
          <w:b/>
          <w:sz w:val="24"/>
          <w:szCs w:val="24"/>
        </w:rPr>
      </w:pPr>
      <w:r w:rsidRPr="009C068F">
        <w:rPr>
          <w:rFonts w:ascii="Times New Roman" w:hAnsi="Times New Roman" w:cs="Times New Roman"/>
          <w:b/>
          <w:sz w:val="24"/>
          <w:szCs w:val="24"/>
        </w:rPr>
        <w:t>What are the key differences between civil and criminal laws regarding health care delivery?</w:t>
      </w:r>
    </w:p>
    <w:p w:rsidR="00867DBC" w:rsidRPr="009C068F" w:rsidRDefault="00867DBC" w:rsidP="009C068F">
      <w:pPr>
        <w:spacing w:line="480" w:lineRule="auto"/>
        <w:ind w:firstLine="720"/>
        <w:rPr>
          <w:rFonts w:ascii="Times New Roman" w:hAnsi="Times New Roman" w:cs="Times New Roman"/>
          <w:sz w:val="24"/>
          <w:szCs w:val="24"/>
        </w:rPr>
      </w:pPr>
      <w:r w:rsidRPr="009C068F">
        <w:rPr>
          <w:rFonts w:ascii="Times New Roman" w:hAnsi="Times New Roman" w:cs="Times New Roman"/>
          <w:sz w:val="24"/>
          <w:szCs w:val="24"/>
        </w:rPr>
        <w:t xml:space="preserve">One difference between civil and criminal laws in healthcare delivery lies in how cases are initiated. In criminal law, cases are only initiated by the government, that is, state or federal governments. Stanhope, Faan, Lancaster &amp; Faan (2019), states that criminal cases commence with police arrests of the offender, that is, the healthcare professional. An arrest report contains a summary of the details like dates, names of the offender, and names of witnesses. In criminal law, the prosecutor has to prove that the healthcare professional broke the healthcare standards beyond a reasonable doubt, and the patient suffered severely. In civil law, cases are initiated by individual parties, the plaintiff, who is the patient, or a representative of the patient. The plaintiff files a suit with the clerk of a court of law. The plaintiff states the background under which they are suing the defendant and mentions the action that the court may take against the defendant. Then the defendant is served with a copy of the complaint.  </w:t>
      </w:r>
    </w:p>
    <w:p w:rsidR="00867DBC" w:rsidRPr="009C068F" w:rsidRDefault="00867DBC" w:rsidP="009C068F">
      <w:pPr>
        <w:spacing w:line="480" w:lineRule="auto"/>
        <w:ind w:firstLine="720"/>
        <w:rPr>
          <w:rFonts w:ascii="Times New Roman" w:hAnsi="Times New Roman" w:cs="Times New Roman"/>
          <w:sz w:val="24"/>
          <w:szCs w:val="24"/>
        </w:rPr>
      </w:pPr>
      <w:r w:rsidRPr="009C068F">
        <w:rPr>
          <w:rFonts w:ascii="Times New Roman" w:hAnsi="Times New Roman" w:cs="Times New Roman"/>
          <w:sz w:val="24"/>
          <w:szCs w:val="24"/>
        </w:rPr>
        <w:t xml:space="preserve">The punishment for criminal charges is imprisonment. Healthcare professionals who commit criminal actions in their lines of duty are subjected to imprisonment, whereby they are put into jail for a certain period. After imprisonment, such individuals may then undergo probation. In other cases, the defendants may be subjected to a fine that is payable to the government. On the other hand, the punishment for civil cases is through a monetary award. The </w:t>
      </w:r>
      <w:r w:rsidRPr="009C068F">
        <w:rPr>
          <w:rFonts w:ascii="Times New Roman" w:hAnsi="Times New Roman" w:cs="Times New Roman"/>
          <w:sz w:val="24"/>
          <w:szCs w:val="24"/>
        </w:rPr>
        <w:lastRenderedPageBreak/>
        <w:t>defendant has to reimburse the plaintiff punitive damages, which are decided by a judge. Another difference between criminal and civil law in healthcare delivery lies in the burden of proof. In criminal law, the government has to prove that the defendant is guilty, and the proof of evidence has to be 99 percent. In civil law, the plaintiff carries the burden of proof, and the proof of evidence is 50 percent (Hall et.al. 2018).</w:t>
      </w:r>
    </w:p>
    <w:p w:rsidR="00867DBC" w:rsidRPr="009C068F" w:rsidRDefault="00867DBC" w:rsidP="003717E6">
      <w:pPr>
        <w:spacing w:line="480" w:lineRule="auto"/>
        <w:jc w:val="center"/>
        <w:rPr>
          <w:rFonts w:ascii="Times New Roman" w:hAnsi="Times New Roman" w:cs="Times New Roman"/>
          <w:b/>
          <w:sz w:val="24"/>
          <w:szCs w:val="24"/>
        </w:rPr>
      </w:pPr>
      <w:r w:rsidRPr="009C068F">
        <w:rPr>
          <w:rFonts w:ascii="Times New Roman" w:hAnsi="Times New Roman" w:cs="Times New Roman"/>
          <w:b/>
          <w:sz w:val="24"/>
          <w:szCs w:val="24"/>
        </w:rPr>
        <w:t>What are the implications of civil and criminal laws in health care delivery regarding medical malpractice?</w:t>
      </w:r>
    </w:p>
    <w:p w:rsidR="00867DBC" w:rsidRPr="009C068F" w:rsidRDefault="00867DBC" w:rsidP="009C068F">
      <w:pPr>
        <w:spacing w:line="480" w:lineRule="auto"/>
        <w:ind w:firstLine="720"/>
        <w:rPr>
          <w:rFonts w:ascii="Times New Roman" w:hAnsi="Times New Roman" w:cs="Times New Roman"/>
          <w:sz w:val="24"/>
          <w:szCs w:val="24"/>
        </w:rPr>
      </w:pPr>
      <w:r w:rsidRPr="009C068F">
        <w:rPr>
          <w:rFonts w:ascii="Times New Roman" w:hAnsi="Times New Roman" w:cs="Times New Roman"/>
          <w:sz w:val="24"/>
          <w:szCs w:val="24"/>
        </w:rPr>
        <w:t>Examples of medical malpractices include disregarding patient's historical medication, conducting unnecessary operations, assumptions of signs and symptoms, improper medication, failure to offer medication to the patient, and assuming results from laboratory tests. The implication of civil laws in the healthcare system is that the laws are able to prevent medical malpractices. Medical malpractices that may require civil litigation have reduced because healthcare professionals have realized that the cost of damages is increasingly becoming unbearable. For instance, healthcare professionals are carefully offering the services agreed upon with patients to avoid a breach of contracts. Additionally, healthcare professionals are acting with diligence to prevent injuries or harm to patients and thus enhancing their safety. More importantly, the Health Insurance Portability and Accountability Act (HIPAA) objectives of ensuring the privacy of health information, simplification of administrative procedures and safeguarding of electronic health records are being observed by healthcare professionals (Hall et.al. 2018).</w:t>
      </w:r>
    </w:p>
    <w:p w:rsidR="00867DBC" w:rsidRPr="009C068F" w:rsidRDefault="00867DBC" w:rsidP="009C068F">
      <w:pPr>
        <w:spacing w:line="480" w:lineRule="auto"/>
        <w:ind w:firstLine="720"/>
        <w:rPr>
          <w:rFonts w:ascii="Times New Roman" w:hAnsi="Times New Roman" w:cs="Times New Roman"/>
          <w:sz w:val="24"/>
          <w:szCs w:val="24"/>
        </w:rPr>
      </w:pPr>
      <w:r w:rsidRPr="009C068F">
        <w:rPr>
          <w:rFonts w:ascii="Times New Roman" w:hAnsi="Times New Roman" w:cs="Times New Roman"/>
          <w:sz w:val="24"/>
          <w:szCs w:val="24"/>
        </w:rPr>
        <w:t xml:space="preserve">Implications of criminal law regarding medical malpractices are that malpractices have reduced because of the expensive punishments for criminal charges. Healthcare professionals are afraid of the long periods of imprisonments, which might be accompanied by exorbitant fines. </w:t>
      </w:r>
      <w:r w:rsidRPr="009C068F">
        <w:rPr>
          <w:rFonts w:ascii="Times New Roman" w:hAnsi="Times New Roman" w:cs="Times New Roman"/>
          <w:sz w:val="24"/>
          <w:szCs w:val="24"/>
        </w:rPr>
        <w:lastRenderedPageBreak/>
        <w:t xml:space="preserve">Some healthcare professionals may not have the capital to pay for the fines; hence they may end up suffering in prisons. As a result of the application of criminal law in healthcare organizations, the quality of care has significantly improved. Healthcare professionals have greatly minimized cases of over-prescription of drugs to patients, duplication of billing records has also been rectified, and cases of physicians helping patients to commit suicide have reduced. The concept of criminal law has been used in healthcare organizations to solve ethical conflicts. Hospitals and medical institutions have paid incurred huge amounts of money as criminal fines, while healthcare professionals have been sentenced to jail terms due to criminal charges (Parks-Savage et.al. 2018). As a result, healthcare professionals have realized that criminal charges are real, and hence </w:t>
      </w:r>
      <w:r w:rsidR="003717E6" w:rsidRPr="009C068F">
        <w:rPr>
          <w:rFonts w:ascii="Times New Roman" w:hAnsi="Times New Roman" w:cs="Times New Roman"/>
          <w:sz w:val="24"/>
          <w:szCs w:val="24"/>
        </w:rPr>
        <w:t>majorities have</w:t>
      </w:r>
      <w:r w:rsidRPr="009C068F">
        <w:rPr>
          <w:rFonts w:ascii="Times New Roman" w:hAnsi="Times New Roman" w:cs="Times New Roman"/>
          <w:sz w:val="24"/>
          <w:szCs w:val="24"/>
        </w:rPr>
        <w:t xml:space="preserve"> taken measures to protect themselves from criminal liability.</w:t>
      </w:r>
    </w:p>
    <w:p w:rsidR="00867DBC" w:rsidRPr="009C068F" w:rsidRDefault="00867DBC" w:rsidP="003717E6">
      <w:pPr>
        <w:spacing w:line="480" w:lineRule="auto"/>
        <w:jc w:val="center"/>
        <w:rPr>
          <w:rFonts w:ascii="Times New Roman" w:hAnsi="Times New Roman" w:cs="Times New Roman"/>
          <w:b/>
          <w:sz w:val="24"/>
          <w:szCs w:val="24"/>
        </w:rPr>
      </w:pPr>
      <w:r w:rsidRPr="009C068F">
        <w:rPr>
          <w:rFonts w:ascii="Times New Roman" w:hAnsi="Times New Roman" w:cs="Times New Roman"/>
          <w:b/>
          <w:sz w:val="24"/>
          <w:szCs w:val="24"/>
        </w:rPr>
        <w:t>Provide three suggestions regarding tort reform</w:t>
      </w:r>
    </w:p>
    <w:p w:rsidR="00897769" w:rsidRPr="009C068F" w:rsidRDefault="00867DBC" w:rsidP="009C068F">
      <w:pPr>
        <w:spacing w:line="480" w:lineRule="auto"/>
        <w:ind w:firstLine="720"/>
        <w:rPr>
          <w:rFonts w:ascii="Times New Roman" w:hAnsi="Times New Roman" w:cs="Times New Roman"/>
          <w:sz w:val="24"/>
          <w:szCs w:val="24"/>
        </w:rPr>
      </w:pPr>
      <w:r w:rsidRPr="009C068F">
        <w:rPr>
          <w:rFonts w:ascii="Times New Roman" w:hAnsi="Times New Roman" w:cs="Times New Roman"/>
          <w:sz w:val="24"/>
          <w:szCs w:val="24"/>
        </w:rPr>
        <w:t xml:space="preserve">The law of tort can still be reformed to improve efficiency and effectiveness and promote fairness for all. With the current system, some people may feel more favored than others. One of the suggestions regarding tort reform would be the establishment of medical courts. Medical courts would be judicial systems fitted with medically expertise and specialist judges to specifically deal with medical malpractices (Dore, 2019). The judges should be medical personnel with vast experience in the medical profession. With the current system, a medical malpractice civil case can be presented to a judge who does not have any medical background but is expected to give a ruling, but if medical courts were established, the handling of medical malpractices would be effective. </w:t>
      </w:r>
    </w:p>
    <w:p w:rsidR="00867DBC" w:rsidRPr="009C068F" w:rsidRDefault="00867DBC" w:rsidP="009C068F">
      <w:pPr>
        <w:spacing w:line="480" w:lineRule="auto"/>
        <w:ind w:firstLine="720"/>
        <w:rPr>
          <w:rFonts w:ascii="Times New Roman" w:hAnsi="Times New Roman" w:cs="Times New Roman"/>
          <w:sz w:val="24"/>
          <w:szCs w:val="24"/>
        </w:rPr>
      </w:pPr>
      <w:r w:rsidRPr="009C068F">
        <w:rPr>
          <w:rFonts w:ascii="Times New Roman" w:hAnsi="Times New Roman" w:cs="Times New Roman"/>
          <w:sz w:val="24"/>
          <w:szCs w:val="24"/>
        </w:rPr>
        <w:t>Another suggestion would be on the extension of disclosure and offer projects, and this would help healthcare professionals to effectively demonstrate the actions by caregivers that might have caused injuries to patients. Similarly, there would be compen</w:t>
      </w:r>
      <w:r w:rsidR="00897769" w:rsidRPr="009C068F">
        <w:rPr>
          <w:rFonts w:ascii="Times New Roman" w:hAnsi="Times New Roman" w:cs="Times New Roman"/>
          <w:sz w:val="24"/>
          <w:szCs w:val="24"/>
        </w:rPr>
        <w:t xml:space="preserve">sation offers for the </w:t>
      </w:r>
      <w:r w:rsidR="00897769" w:rsidRPr="009C068F">
        <w:rPr>
          <w:rFonts w:ascii="Times New Roman" w:hAnsi="Times New Roman" w:cs="Times New Roman"/>
          <w:sz w:val="24"/>
          <w:szCs w:val="24"/>
        </w:rPr>
        <w:lastRenderedPageBreak/>
        <w:t xml:space="preserve">patients. </w:t>
      </w:r>
      <w:r w:rsidRPr="009C068F">
        <w:rPr>
          <w:rFonts w:ascii="Times New Roman" w:hAnsi="Times New Roman" w:cs="Times New Roman"/>
          <w:sz w:val="24"/>
          <w:szCs w:val="24"/>
        </w:rPr>
        <w:t>A</w:t>
      </w:r>
      <w:r w:rsidR="00897769" w:rsidRPr="009C068F">
        <w:rPr>
          <w:rFonts w:ascii="Times New Roman" w:hAnsi="Times New Roman" w:cs="Times New Roman"/>
          <w:sz w:val="24"/>
          <w:szCs w:val="24"/>
        </w:rPr>
        <w:t>dditionally, there should be</w:t>
      </w:r>
      <w:r w:rsidRPr="009C068F">
        <w:rPr>
          <w:rFonts w:ascii="Times New Roman" w:hAnsi="Times New Roman" w:cs="Times New Roman"/>
          <w:sz w:val="24"/>
          <w:szCs w:val="24"/>
        </w:rPr>
        <w:t xml:space="preserve"> creation of safe harbors. Safe harbor</w:t>
      </w:r>
      <w:r w:rsidR="00897769" w:rsidRPr="009C068F">
        <w:rPr>
          <w:rFonts w:ascii="Times New Roman" w:hAnsi="Times New Roman" w:cs="Times New Roman"/>
          <w:sz w:val="24"/>
          <w:szCs w:val="24"/>
        </w:rPr>
        <w:t>s would be guidelines that may</w:t>
      </w:r>
      <w:r w:rsidRPr="009C068F">
        <w:rPr>
          <w:rFonts w:ascii="Times New Roman" w:hAnsi="Times New Roman" w:cs="Times New Roman"/>
          <w:sz w:val="24"/>
          <w:szCs w:val="24"/>
        </w:rPr>
        <w:t xml:space="preserve"> be adopted by hospitals and healthcare providers to improve the quality of healthcare, and this kind of tort reform would help physicians transit from the old pay-for-performance technique. Safe harbors would also help physicians avoid the costly defensive medicine strategy. Sheffield (2019), notes that defensive medicine made physicians procure more costly and unnecessary medications out of the fear that their absence might cause a patient</w:t>
      </w:r>
      <w:r w:rsidR="00897769" w:rsidRPr="009C068F">
        <w:rPr>
          <w:rFonts w:ascii="Times New Roman" w:hAnsi="Times New Roman" w:cs="Times New Roman"/>
          <w:sz w:val="24"/>
          <w:szCs w:val="24"/>
        </w:rPr>
        <w:t>s</w:t>
      </w:r>
      <w:r w:rsidRPr="009C068F">
        <w:rPr>
          <w:rFonts w:ascii="Times New Roman" w:hAnsi="Times New Roman" w:cs="Times New Roman"/>
          <w:sz w:val="24"/>
          <w:szCs w:val="24"/>
        </w:rPr>
        <w:t xml:space="preserve"> to suffer.</w:t>
      </w:r>
    </w:p>
    <w:p w:rsidR="009C068F" w:rsidRDefault="009C068F" w:rsidP="009C068F">
      <w:pPr>
        <w:spacing w:line="480" w:lineRule="auto"/>
        <w:rPr>
          <w:rFonts w:ascii="Times New Roman" w:hAnsi="Times New Roman" w:cs="Times New Roman"/>
          <w:sz w:val="24"/>
          <w:szCs w:val="24"/>
        </w:rPr>
      </w:pPr>
    </w:p>
    <w:p w:rsidR="009C068F" w:rsidRDefault="009C068F" w:rsidP="009C068F">
      <w:pPr>
        <w:spacing w:line="480" w:lineRule="auto"/>
        <w:rPr>
          <w:rFonts w:ascii="Times New Roman" w:hAnsi="Times New Roman" w:cs="Times New Roman"/>
          <w:sz w:val="24"/>
          <w:szCs w:val="24"/>
        </w:rPr>
      </w:pPr>
    </w:p>
    <w:p w:rsidR="009C068F" w:rsidRDefault="009C068F" w:rsidP="009C068F">
      <w:pPr>
        <w:spacing w:line="480" w:lineRule="auto"/>
        <w:rPr>
          <w:rFonts w:ascii="Times New Roman" w:hAnsi="Times New Roman" w:cs="Times New Roman"/>
          <w:sz w:val="24"/>
          <w:szCs w:val="24"/>
        </w:rPr>
      </w:pPr>
    </w:p>
    <w:p w:rsidR="009C068F" w:rsidRDefault="009C068F" w:rsidP="009C068F">
      <w:pPr>
        <w:spacing w:line="480" w:lineRule="auto"/>
        <w:rPr>
          <w:rFonts w:ascii="Times New Roman" w:hAnsi="Times New Roman" w:cs="Times New Roman"/>
          <w:sz w:val="24"/>
          <w:szCs w:val="24"/>
        </w:rPr>
      </w:pPr>
    </w:p>
    <w:p w:rsidR="009C068F" w:rsidRDefault="009C068F" w:rsidP="009C068F">
      <w:pPr>
        <w:spacing w:line="480" w:lineRule="auto"/>
        <w:rPr>
          <w:rFonts w:ascii="Times New Roman" w:hAnsi="Times New Roman" w:cs="Times New Roman"/>
          <w:sz w:val="24"/>
          <w:szCs w:val="24"/>
        </w:rPr>
      </w:pPr>
    </w:p>
    <w:p w:rsidR="009C068F" w:rsidRDefault="009C068F" w:rsidP="009C068F">
      <w:pPr>
        <w:spacing w:line="480" w:lineRule="auto"/>
        <w:rPr>
          <w:rFonts w:ascii="Times New Roman" w:hAnsi="Times New Roman" w:cs="Times New Roman"/>
          <w:sz w:val="24"/>
          <w:szCs w:val="24"/>
        </w:rPr>
      </w:pPr>
    </w:p>
    <w:p w:rsidR="009C068F" w:rsidRDefault="009C068F" w:rsidP="009C068F">
      <w:pPr>
        <w:spacing w:line="480" w:lineRule="auto"/>
        <w:rPr>
          <w:rFonts w:ascii="Times New Roman" w:hAnsi="Times New Roman" w:cs="Times New Roman"/>
          <w:sz w:val="24"/>
          <w:szCs w:val="24"/>
        </w:rPr>
      </w:pPr>
    </w:p>
    <w:p w:rsidR="009C068F" w:rsidRDefault="009C068F" w:rsidP="009C068F">
      <w:pPr>
        <w:spacing w:line="480" w:lineRule="auto"/>
        <w:rPr>
          <w:rFonts w:ascii="Times New Roman" w:hAnsi="Times New Roman" w:cs="Times New Roman"/>
          <w:sz w:val="24"/>
          <w:szCs w:val="24"/>
        </w:rPr>
      </w:pPr>
    </w:p>
    <w:p w:rsidR="009C068F" w:rsidRDefault="009C068F" w:rsidP="009C068F">
      <w:pPr>
        <w:spacing w:line="480" w:lineRule="auto"/>
        <w:rPr>
          <w:rFonts w:ascii="Times New Roman" w:hAnsi="Times New Roman" w:cs="Times New Roman"/>
          <w:sz w:val="24"/>
          <w:szCs w:val="24"/>
        </w:rPr>
      </w:pPr>
    </w:p>
    <w:p w:rsidR="009C068F" w:rsidRDefault="009C068F" w:rsidP="009C068F">
      <w:pPr>
        <w:spacing w:line="480" w:lineRule="auto"/>
        <w:rPr>
          <w:rFonts w:ascii="Times New Roman" w:hAnsi="Times New Roman" w:cs="Times New Roman"/>
          <w:sz w:val="24"/>
          <w:szCs w:val="24"/>
        </w:rPr>
      </w:pPr>
    </w:p>
    <w:p w:rsidR="009C068F" w:rsidRDefault="009C068F" w:rsidP="009C068F">
      <w:pPr>
        <w:spacing w:line="480" w:lineRule="auto"/>
        <w:rPr>
          <w:rFonts w:ascii="Times New Roman" w:hAnsi="Times New Roman" w:cs="Times New Roman"/>
          <w:sz w:val="24"/>
          <w:szCs w:val="24"/>
        </w:rPr>
      </w:pPr>
    </w:p>
    <w:p w:rsidR="009C068F" w:rsidRDefault="009C068F" w:rsidP="009C068F">
      <w:pPr>
        <w:spacing w:line="480" w:lineRule="auto"/>
        <w:rPr>
          <w:rFonts w:ascii="Times New Roman" w:hAnsi="Times New Roman" w:cs="Times New Roman"/>
          <w:sz w:val="24"/>
          <w:szCs w:val="24"/>
        </w:rPr>
      </w:pPr>
    </w:p>
    <w:p w:rsidR="009C068F" w:rsidRDefault="009C068F" w:rsidP="009C068F">
      <w:pPr>
        <w:spacing w:line="480" w:lineRule="auto"/>
        <w:rPr>
          <w:rFonts w:ascii="Times New Roman" w:hAnsi="Times New Roman" w:cs="Times New Roman"/>
          <w:sz w:val="24"/>
          <w:szCs w:val="24"/>
        </w:rPr>
      </w:pPr>
    </w:p>
    <w:p w:rsidR="00867DBC" w:rsidRPr="009C068F" w:rsidRDefault="00867DBC" w:rsidP="009C068F">
      <w:pPr>
        <w:spacing w:line="480" w:lineRule="auto"/>
        <w:jc w:val="center"/>
        <w:rPr>
          <w:rFonts w:ascii="Times New Roman" w:hAnsi="Times New Roman" w:cs="Times New Roman"/>
          <w:sz w:val="24"/>
          <w:szCs w:val="24"/>
        </w:rPr>
      </w:pPr>
      <w:r w:rsidRPr="009C068F">
        <w:rPr>
          <w:rFonts w:ascii="Times New Roman" w:hAnsi="Times New Roman" w:cs="Times New Roman"/>
          <w:sz w:val="24"/>
          <w:szCs w:val="24"/>
        </w:rPr>
        <w:lastRenderedPageBreak/>
        <w:t>Reference</w:t>
      </w:r>
    </w:p>
    <w:p w:rsidR="00867DBC" w:rsidRPr="009C068F" w:rsidRDefault="00867DBC" w:rsidP="009C068F">
      <w:pPr>
        <w:spacing w:line="480" w:lineRule="auto"/>
        <w:ind w:left="720" w:hanging="720"/>
        <w:rPr>
          <w:rFonts w:ascii="Times New Roman" w:hAnsi="Times New Roman" w:cs="Times New Roman"/>
          <w:sz w:val="24"/>
          <w:szCs w:val="24"/>
        </w:rPr>
      </w:pPr>
      <w:r w:rsidRPr="009C068F">
        <w:rPr>
          <w:rFonts w:ascii="Times New Roman" w:hAnsi="Times New Roman" w:cs="Times New Roman"/>
          <w:sz w:val="24"/>
          <w:szCs w:val="24"/>
        </w:rPr>
        <w:t xml:space="preserve">Carvalho, H. (2017). The preventive turn in criminal law. </w:t>
      </w:r>
      <w:r w:rsidRPr="009C068F">
        <w:rPr>
          <w:rFonts w:ascii="Times New Roman" w:hAnsi="Times New Roman" w:cs="Times New Roman"/>
          <w:i/>
          <w:sz w:val="24"/>
          <w:szCs w:val="24"/>
        </w:rPr>
        <w:t>Oxford University Press.</w:t>
      </w:r>
    </w:p>
    <w:p w:rsidR="00867DBC" w:rsidRPr="009C068F" w:rsidRDefault="00867DBC" w:rsidP="009C068F">
      <w:pPr>
        <w:spacing w:line="480" w:lineRule="auto"/>
        <w:ind w:left="720" w:hanging="720"/>
        <w:rPr>
          <w:rFonts w:ascii="Times New Roman" w:hAnsi="Times New Roman" w:cs="Times New Roman"/>
          <w:sz w:val="24"/>
          <w:szCs w:val="24"/>
        </w:rPr>
      </w:pPr>
      <w:r w:rsidRPr="009C068F">
        <w:rPr>
          <w:rFonts w:ascii="Times New Roman" w:hAnsi="Times New Roman" w:cs="Times New Roman"/>
          <w:sz w:val="24"/>
          <w:szCs w:val="24"/>
        </w:rPr>
        <w:t xml:space="preserve">Dore, M. G. (2019). Lifting the Veil on Iowa Piercing Jurisprudence and Suggestions for Reform. </w:t>
      </w:r>
      <w:r w:rsidRPr="009C068F">
        <w:rPr>
          <w:rFonts w:ascii="Times New Roman" w:hAnsi="Times New Roman" w:cs="Times New Roman"/>
          <w:i/>
          <w:sz w:val="24"/>
          <w:szCs w:val="24"/>
        </w:rPr>
        <w:t>Drake L.</w:t>
      </w:r>
      <w:r w:rsidRPr="009C068F">
        <w:rPr>
          <w:rFonts w:ascii="Times New Roman" w:hAnsi="Times New Roman" w:cs="Times New Roman"/>
          <w:sz w:val="24"/>
          <w:szCs w:val="24"/>
        </w:rPr>
        <w:t xml:space="preserve"> Rev., 67, 619.</w:t>
      </w:r>
    </w:p>
    <w:p w:rsidR="00867DBC" w:rsidRPr="009C068F" w:rsidRDefault="00867DBC" w:rsidP="009C068F">
      <w:pPr>
        <w:spacing w:line="480" w:lineRule="auto"/>
        <w:ind w:left="720" w:hanging="720"/>
        <w:rPr>
          <w:rFonts w:ascii="Times New Roman" w:hAnsi="Times New Roman" w:cs="Times New Roman"/>
          <w:i/>
          <w:sz w:val="24"/>
          <w:szCs w:val="24"/>
        </w:rPr>
      </w:pPr>
      <w:r w:rsidRPr="009C068F">
        <w:rPr>
          <w:rFonts w:ascii="Times New Roman" w:hAnsi="Times New Roman" w:cs="Times New Roman"/>
          <w:sz w:val="24"/>
          <w:szCs w:val="24"/>
        </w:rPr>
        <w:t xml:space="preserve">Hall, M. A., Orentlicher, D., Bobinski, M. A., Bagley, N., &amp; Cohen, I. G. (2018). Health care law and ethics. </w:t>
      </w:r>
      <w:r w:rsidRPr="009C068F">
        <w:rPr>
          <w:rFonts w:ascii="Times New Roman" w:hAnsi="Times New Roman" w:cs="Times New Roman"/>
          <w:i/>
          <w:sz w:val="24"/>
          <w:szCs w:val="24"/>
        </w:rPr>
        <w:t>Wolters Kluwer Law &amp; Business.</w:t>
      </w:r>
    </w:p>
    <w:p w:rsidR="00867DBC" w:rsidRPr="009C068F" w:rsidRDefault="00867DBC" w:rsidP="009C068F">
      <w:pPr>
        <w:spacing w:line="480" w:lineRule="auto"/>
        <w:ind w:left="720" w:hanging="720"/>
        <w:rPr>
          <w:rFonts w:ascii="Times New Roman" w:hAnsi="Times New Roman" w:cs="Times New Roman"/>
          <w:sz w:val="24"/>
          <w:szCs w:val="24"/>
        </w:rPr>
      </w:pPr>
      <w:r w:rsidRPr="009C068F">
        <w:rPr>
          <w:rFonts w:ascii="Times New Roman" w:hAnsi="Times New Roman" w:cs="Times New Roman"/>
          <w:sz w:val="24"/>
          <w:szCs w:val="24"/>
        </w:rPr>
        <w:t xml:space="preserve">Parks-Savage, A., Archer, L., Newton, H., Wheeler, E., &amp; Huband, S. R. (2018). Prevention of medical errors and malpractice: Is creating resilience in physicians part of the answer?. </w:t>
      </w:r>
      <w:r w:rsidRPr="009C068F">
        <w:rPr>
          <w:rFonts w:ascii="Times New Roman" w:hAnsi="Times New Roman" w:cs="Times New Roman"/>
          <w:i/>
          <w:sz w:val="24"/>
          <w:szCs w:val="24"/>
        </w:rPr>
        <w:t>International journal of law and psychiatry,</w:t>
      </w:r>
      <w:r w:rsidRPr="009C068F">
        <w:rPr>
          <w:rFonts w:ascii="Times New Roman" w:hAnsi="Times New Roman" w:cs="Times New Roman"/>
          <w:sz w:val="24"/>
          <w:szCs w:val="24"/>
        </w:rPr>
        <w:t xml:space="preserve"> 60, 35-39.</w:t>
      </w:r>
    </w:p>
    <w:p w:rsidR="00867DBC" w:rsidRPr="009C068F" w:rsidRDefault="00867DBC" w:rsidP="009C068F">
      <w:pPr>
        <w:spacing w:line="480" w:lineRule="auto"/>
        <w:ind w:left="720" w:hanging="720"/>
        <w:rPr>
          <w:rFonts w:ascii="Times New Roman" w:hAnsi="Times New Roman" w:cs="Times New Roman"/>
          <w:sz w:val="24"/>
          <w:szCs w:val="24"/>
        </w:rPr>
      </w:pPr>
      <w:r w:rsidRPr="009C068F">
        <w:rPr>
          <w:rFonts w:ascii="Times New Roman" w:hAnsi="Times New Roman" w:cs="Times New Roman"/>
          <w:sz w:val="24"/>
          <w:szCs w:val="24"/>
        </w:rPr>
        <w:t xml:space="preserve">Pozgar, G. D. (2018). Legal aspects of health care administration. </w:t>
      </w:r>
      <w:r w:rsidRPr="009C068F">
        <w:rPr>
          <w:rFonts w:ascii="Times New Roman" w:hAnsi="Times New Roman" w:cs="Times New Roman"/>
          <w:i/>
          <w:sz w:val="24"/>
          <w:szCs w:val="24"/>
        </w:rPr>
        <w:t>Jones &amp; Bartlett Learning</w:t>
      </w:r>
      <w:r w:rsidRPr="009C068F">
        <w:rPr>
          <w:rFonts w:ascii="Times New Roman" w:hAnsi="Times New Roman" w:cs="Times New Roman"/>
          <w:sz w:val="24"/>
          <w:szCs w:val="24"/>
        </w:rPr>
        <w:t>.</w:t>
      </w:r>
    </w:p>
    <w:p w:rsidR="00867DBC" w:rsidRPr="009C068F" w:rsidRDefault="00867DBC" w:rsidP="009C068F">
      <w:pPr>
        <w:spacing w:line="480" w:lineRule="auto"/>
        <w:ind w:left="720" w:hanging="720"/>
        <w:rPr>
          <w:rFonts w:ascii="Times New Roman" w:hAnsi="Times New Roman" w:cs="Times New Roman"/>
          <w:sz w:val="24"/>
          <w:szCs w:val="24"/>
        </w:rPr>
      </w:pPr>
      <w:r w:rsidRPr="009C068F">
        <w:rPr>
          <w:rFonts w:ascii="Times New Roman" w:hAnsi="Times New Roman" w:cs="Times New Roman"/>
          <w:sz w:val="24"/>
          <w:szCs w:val="24"/>
        </w:rPr>
        <w:t xml:space="preserve">Sheffield, J. C. (2019). Congress Prescribes Preemption of State Tort-Reform Laws to Remedy Healthcare Crisis: An Improper Prognosis. </w:t>
      </w:r>
      <w:r w:rsidRPr="009C068F">
        <w:rPr>
          <w:rFonts w:ascii="Times New Roman" w:hAnsi="Times New Roman" w:cs="Times New Roman"/>
          <w:i/>
          <w:sz w:val="24"/>
          <w:szCs w:val="24"/>
        </w:rPr>
        <w:t>JL &amp; Health</w:t>
      </w:r>
      <w:r w:rsidRPr="009C068F">
        <w:rPr>
          <w:rFonts w:ascii="Times New Roman" w:hAnsi="Times New Roman" w:cs="Times New Roman"/>
          <w:sz w:val="24"/>
          <w:szCs w:val="24"/>
        </w:rPr>
        <w:t>, 32, 27.</w:t>
      </w:r>
    </w:p>
    <w:p w:rsidR="00867DBC" w:rsidRPr="009C068F" w:rsidRDefault="00867DBC" w:rsidP="009C068F">
      <w:pPr>
        <w:spacing w:line="480" w:lineRule="auto"/>
        <w:ind w:left="720" w:hanging="720"/>
        <w:rPr>
          <w:rFonts w:ascii="Times New Roman" w:hAnsi="Times New Roman" w:cs="Times New Roman"/>
          <w:sz w:val="24"/>
          <w:szCs w:val="24"/>
        </w:rPr>
      </w:pPr>
      <w:r w:rsidRPr="009C068F">
        <w:rPr>
          <w:rFonts w:ascii="Times New Roman" w:hAnsi="Times New Roman" w:cs="Times New Roman"/>
          <w:sz w:val="24"/>
          <w:szCs w:val="24"/>
        </w:rPr>
        <w:t xml:space="preserve">Stanhope, M., Faan, R. D., Lancaster, J., &amp; Faan, R. P. (2019). Public Health Nursing E-Book: Population-Centered Health Care in the Community. </w:t>
      </w:r>
      <w:r w:rsidRPr="009C068F">
        <w:rPr>
          <w:rFonts w:ascii="Times New Roman" w:hAnsi="Times New Roman" w:cs="Times New Roman"/>
          <w:i/>
          <w:sz w:val="24"/>
          <w:szCs w:val="24"/>
        </w:rPr>
        <w:t>Mosby</w:t>
      </w:r>
      <w:r w:rsidRPr="009C068F">
        <w:rPr>
          <w:rFonts w:ascii="Times New Roman" w:hAnsi="Times New Roman" w:cs="Times New Roman"/>
          <w:sz w:val="24"/>
          <w:szCs w:val="24"/>
        </w:rPr>
        <w:t>.</w:t>
      </w:r>
      <w:bookmarkStart w:id="0" w:name="_GoBack"/>
      <w:bookmarkEnd w:id="0"/>
    </w:p>
    <w:p w:rsidR="00867DBC" w:rsidRPr="009C068F" w:rsidRDefault="00867DBC" w:rsidP="009C068F">
      <w:pPr>
        <w:spacing w:line="480" w:lineRule="auto"/>
        <w:rPr>
          <w:rFonts w:ascii="Times New Roman" w:hAnsi="Times New Roman" w:cs="Times New Roman"/>
          <w:sz w:val="24"/>
          <w:szCs w:val="24"/>
        </w:rPr>
      </w:pPr>
    </w:p>
    <w:p w:rsidR="00867DBC" w:rsidRPr="009C068F" w:rsidRDefault="00867DBC" w:rsidP="009C068F">
      <w:pPr>
        <w:spacing w:line="480" w:lineRule="auto"/>
        <w:rPr>
          <w:rFonts w:ascii="Times New Roman" w:hAnsi="Times New Roman" w:cs="Times New Roman"/>
          <w:sz w:val="24"/>
          <w:szCs w:val="24"/>
        </w:rPr>
      </w:pPr>
    </w:p>
    <w:p w:rsidR="00AA3184" w:rsidRPr="009C068F" w:rsidRDefault="00AA3184" w:rsidP="009C068F">
      <w:pPr>
        <w:spacing w:line="480" w:lineRule="auto"/>
        <w:rPr>
          <w:rFonts w:ascii="Times New Roman" w:hAnsi="Times New Roman" w:cs="Times New Roman"/>
          <w:sz w:val="24"/>
          <w:szCs w:val="24"/>
        </w:rPr>
      </w:pPr>
    </w:p>
    <w:sectPr w:rsidR="00AA3184" w:rsidRPr="009C068F" w:rsidSect="0089776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4937" w:rsidRDefault="00044937" w:rsidP="00897769">
      <w:pPr>
        <w:spacing w:after="0" w:line="240" w:lineRule="auto"/>
      </w:pPr>
      <w:r>
        <w:separator/>
      </w:r>
    </w:p>
  </w:endnote>
  <w:endnote w:type="continuationSeparator" w:id="1">
    <w:p w:rsidR="00044937" w:rsidRDefault="00044937" w:rsidP="0089776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4937" w:rsidRDefault="00044937" w:rsidP="00897769">
      <w:pPr>
        <w:spacing w:after="0" w:line="240" w:lineRule="auto"/>
      </w:pPr>
      <w:r>
        <w:separator/>
      </w:r>
    </w:p>
  </w:footnote>
  <w:footnote w:type="continuationSeparator" w:id="1">
    <w:p w:rsidR="00044937" w:rsidRDefault="00044937" w:rsidP="0089776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769" w:rsidRPr="00897769" w:rsidRDefault="00897769">
    <w:pPr>
      <w:pStyle w:val="Header"/>
      <w:rPr>
        <w:rFonts w:ascii="Times New Roman" w:hAnsi="Times New Roman" w:cs="Times New Roman"/>
        <w:sz w:val="24"/>
        <w:szCs w:val="24"/>
      </w:rPr>
    </w:pPr>
    <w:r w:rsidRPr="00897769">
      <w:rPr>
        <w:rFonts w:ascii="Times New Roman" w:hAnsi="Times New Roman" w:cs="Times New Roman"/>
        <w:sz w:val="24"/>
        <w:szCs w:val="24"/>
      </w:rPr>
      <w:t>CIVIL AND CRIMINAL LAWS</w:t>
    </w:r>
    <w:r w:rsidRPr="00897769">
      <w:rPr>
        <w:rFonts w:ascii="Times New Roman" w:hAnsi="Times New Roman" w:cs="Times New Roman"/>
        <w:sz w:val="24"/>
        <w:szCs w:val="24"/>
      </w:rPr>
      <w:tab/>
    </w:r>
    <w:r w:rsidRPr="00897769">
      <w:rPr>
        <w:rFonts w:ascii="Times New Roman" w:hAnsi="Times New Roman" w:cs="Times New Roman"/>
        <w:sz w:val="24"/>
        <w:szCs w:val="24"/>
      </w:rPr>
      <w:tab/>
    </w:r>
    <w:r w:rsidR="001A123C" w:rsidRPr="00897769">
      <w:rPr>
        <w:rFonts w:ascii="Times New Roman" w:hAnsi="Times New Roman" w:cs="Times New Roman"/>
        <w:sz w:val="24"/>
        <w:szCs w:val="24"/>
      </w:rPr>
      <w:fldChar w:fldCharType="begin"/>
    </w:r>
    <w:r w:rsidRPr="00897769">
      <w:rPr>
        <w:rFonts w:ascii="Times New Roman" w:hAnsi="Times New Roman" w:cs="Times New Roman"/>
        <w:sz w:val="24"/>
        <w:szCs w:val="24"/>
      </w:rPr>
      <w:instrText xml:space="preserve"> PAGE   \* MERGEFORMAT </w:instrText>
    </w:r>
    <w:r w:rsidR="001A123C" w:rsidRPr="00897769">
      <w:rPr>
        <w:rFonts w:ascii="Times New Roman" w:hAnsi="Times New Roman" w:cs="Times New Roman"/>
        <w:sz w:val="24"/>
        <w:szCs w:val="24"/>
      </w:rPr>
      <w:fldChar w:fldCharType="separate"/>
    </w:r>
    <w:r w:rsidR="00DD4193">
      <w:rPr>
        <w:rFonts w:ascii="Times New Roman" w:hAnsi="Times New Roman" w:cs="Times New Roman"/>
        <w:noProof/>
        <w:sz w:val="24"/>
        <w:szCs w:val="24"/>
      </w:rPr>
      <w:t>8</w:t>
    </w:r>
    <w:r w:rsidR="001A123C" w:rsidRPr="00897769">
      <w:rPr>
        <w:rFonts w:ascii="Times New Roman" w:hAnsi="Times New Roman" w:cs="Times New Roman"/>
        <w:noProof/>
        <w:sz w:val="24"/>
        <w:szCs w:val="24"/>
      </w:rPr>
      <w:fldChar w:fldCharType="end"/>
    </w:r>
  </w:p>
  <w:p w:rsidR="00897769" w:rsidRDefault="0089776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769" w:rsidRPr="00897769" w:rsidRDefault="00897769">
    <w:pPr>
      <w:pStyle w:val="Header"/>
      <w:rPr>
        <w:rFonts w:ascii="Times New Roman" w:hAnsi="Times New Roman" w:cs="Times New Roman"/>
        <w:sz w:val="24"/>
        <w:szCs w:val="24"/>
      </w:rPr>
    </w:pPr>
    <w:r w:rsidRPr="00897769">
      <w:rPr>
        <w:rFonts w:ascii="Times New Roman" w:hAnsi="Times New Roman" w:cs="Times New Roman"/>
        <w:sz w:val="24"/>
        <w:szCs w:val="24"/>
      </w:rPr>
      <w:t>Running head: CIVIL AND CRIMINAL LAWS</w:t>
    </w:r>
    <w:r w:rsidRPr="00897769">
      <w:rPr>
        <w:rFonts w:ascii="Times New Roman" w:hAnsi="Times New Roman" w:cs="Times New Roman"/>
        <w:sz w:val="24"/>
        <w:szCs w:val="24"/>
      </w:rPr>
      <w:tab/>
    </w:r>
    <w:r w:rsidRPr="00897769">
      <w:rPr>
        <w:rFonts w:ascii="Times New Roman" w:hAnsi="Times New Roman" w:cs="Times New Roman"/>
        <w:sz w:val="24"/>
        <w:szCs w:val="24"/>
      </w:rPr>
      <w:tab/>
    </w:r>
    <w:r w:rsidR="001A123C" w:rsidRPr="00897769">
      <w:rPr>
        <w:rFonts w:ascii="Times New Roman" w:hAnsi="Times New Roman" w:cs="Times New Roman"/>
        <w:sz w:val="24"/>
        <w:szCs w:val="24"/>
      </w:rPr>
      <w:fldChar w:fldCharType="begin"/>
    </w:r>
    <w:r w:rsidRPr="00897769">
      <w:rPr>
        <w:rFonts w:ascii="Times New Roman" w:hAnsi="Times New Roman" w:cs="Times New Roman"/>
        <w:sz w:val="24"/>
        <w:szCs w:val="24"/>
      </w:rPr>
      <w:instrText xml:space="preserve"> PAGE   \* MERGEFORMAT </w:instrText>
    </w:r>
    <w:r w:rsidR="001A123C" w:rsidRPr="00897769">
      <w:rPr>
        <w:rFonts w:ascii="Times New Roman" w:hAnsi="Times New Roman" w:cs="Times New Roman"/>
        <w:sz w:val="24"/>
        <w:szCs w:val="24"/>
      </w:rPr>
      <w:fldChar w:fldCharType="separate"/>
    </w:r>
    <w:r w:rsidR="00DD4193">
      <w:rPr>
        <w:rFonts w:ascii="Times New Roman" w:hAnsi="Times New Roman" w:cs="Times New Roman"/>
        <w:noProof/>
        <w:sz w:val="24"/>
        <w:szCs w:val="24"/>
      </w:rPr>
      <w:t>1</w:t>
    </w:r>
    <w:r w:rsidR="001A123C" w:rsidRPr="00897769">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34999"/>
    <w:rsid w:val="00034999"/>
    <w:rsid w:val="00044937"/>
    <w:rsid w:val="00062062"/>
    <w:rsid w:val="000E10BE"/>
    <w:rsid w:val="001A123C"/>
    <w:rsid w:val="0021687B"/>
    <w:rsid w:val="002962BC"/>
    <w:rsid w:val="002E6107"/>
    <w:rsid w:val="002F25CE"/>
    <w:rsid w:val="00300CD8"/>
    <w:rsid w:val="003717E6"/>
    <w:rsid w:val="003F01E1"/>
    <w:rsid w:val="004506AA"/>
    <w:rsid w:val="005A2687"/>
    <w:rsid w:val="00611B3D"/>
    <w:rsid w:val="006640BA"/>
    <w:rsid w:val="007072C5"/>
    <w:rsid w:val="007225BF"/>
    <w:rsid w:val="00752261"/>
    <w:rsid w:val="00812043"/>
    <w:rsid w:val="00867DBC"/>
    <w:rsid w:val="00897769"/>
    <w:rsid w:val="008A4A6D"/>
    <w:rsid w:val="008F16F4"/>
    <w:rsid w:val="00987F30"/>
    <w:rsid w:val="009B717C"/>
    <w:rsid w:val="009C068F"/>
    <w:rsid w:val="009C26A3"/>
    <w:rsid w:val="00AA3184"/>
    <w:rsid w:val="00AD2555"/>
    <w:rsid w:val="00BD04A6"/>
    <w:rsid w:val="00BD2F93"/>
    <w:rsid w:val="00C2183A"/>
    <w:rsid w:val="00C56DD4"/>
    <w:rsid w:val="00D16BB5"/>
    <w:rsid w:val="00D90C2F"/>
    <w:rsid w:val="00DC4F61"/>
    <w:rsid w:val="00DD4193"/>
    <w:rsid w:val="00EE50F4"/>
    <w:rsid w:val="00F43FE2"/>
    <w:rsid w:val="00F7420A"/>
    <w:rsid w:val="00FB5BC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10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7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769"/>
  </w:style>
  <w:style w:type="paragraph" w:styleId="Footer">
    <w:name w:val="footer"/>
    <w:basedOn w:val="Normal"/>
    <w:link w:val="FooterChar"/>
    <w:uiPriority w:val="99"/>
    <w:unhideWhenUsed/>
    <w:rsid w:val="008977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769"/>
  </w:style>
</w:styles>
</file>

<file path=word/webSettings.xml><?xml version="1.0" encoding="utf-8"?>
<w:webSettings xmlns:r="http://schemas.openxmlformats.org/officeDocument/2006/relationships" xmlns:w="http://schemas.openxmlformats.org/wordprocessingml/2006/main">
  <w:divs>
    <w:div w:id="291906934">
      <w:bodyDiv w:val="1"/>
      <w:marLeft w:val="0"/>
      <w:marRight w:val="0"/>
      <w:marTop w:val="0"/>
      <w:marBottom w:val="0"/>
      <w:divBdr>
        <w:top w:val="none" w:sz="0" w:space="0" w:color="auto"/>
        <w:left w:val="none" w:sz="0" w:space="0" w:color="auto"/>
        <w:bottom w:val="none" w:sz="0" w:space="0" w:color="auto"/>
        <w:right w:val="none" w:sz="0" w:space="0" w:color="auto"/>
      </w:divBdr>
      <w:divsChild>
        <w:div w:id="1136605068">
          <w:marLeft w:val="0"/>
          <w:marRight w:val="0"/>
          <w:marTop w:val="0"/>
          <w:marBottom w:val="0"/>
          <w:divBdr>
            <w:top w:val="none" w:sz="0" w:space="0" w:color="auto"/>
            <w:left w:val="none" w:sz="0" w:space="0" w:color="auto"/>
            <w:bottom w:val="none" w:sz="0" w:space="0" w:color="auto"/>
            <w:right w:val="none" w:sz="0" w:space="0" w:color="auto"/>
          </w:divBdr>
        </w:div>
      </w:divsChild>
    </w:div>
    <w:div w:id="311645112">
      <w:bodyDiv w:val="1"/>
      <w:marLeft w:val="0"/>
      <w:marRight w:val="0"/>
      <w:marTop w:val="0"/>
      <w:marBottom w:val="0"/>
      <w:divBdr>
        <w:top w:val="none" w:sz="0" w:space="0" w:color="auto"/>
        <w:left w:val="none" w:sz="0" w:space="0" w:color="auto"/>
        <w:bottom w:val="none" w:sz="0" w:space="0" w:color="auto"/>
        <w:right w:val="none" w:sz="0" w:space="0" w:color="auto"/>
      </w:divBdr>
      <w:divsChild>
        <w:div w:id="216816747">
          <w:marLeft w:val="0"/>
          <w:marRight w:val="0"/>
          <w:marTop w:val="0"/>
          <w:marBottom w:val="0"/>
          <w:divBdr>
            <w:top w:val="none" w:sz="0" w:space="0" w:color="auto"/>
            <w:left w:val="none" w:sz="0" w:space="0" w:color="auto"/>
            <w:bottom w:val="none" w:sz="0" w:space="0" w:color="auto"/>
            <w:right w:val="none" w:sz="0" w:space="0" w:color="auto"/>
          </w:divBdr>
        </w:div>
      </w:divsChild>
    </w:div>
    <w:div w:id="330454421">
      <w:bodyDiv w:val="1"/>
      <w:marLeft w:val="0"/>
      <w:marRight w:val="0"/>
      <w:marTop w:val="0"/>
      <w:marBottom w:val="0"/>
      <w:divBdr>
        <w:top w:val="none" w:sz="0" w:space="0" w:color="auto"/>
        <w:left w:val="none" w:sz="0" w:space="0" w:color="auto"/>
        <w:bottom w:val="none" w:sz="0" w:space="0" w:color="auto"/>
        <w:right w:val="none" w:sz="0" w:space="0" w:color="auto"/>
      </w:divBdr>
      <w:divsChild>
        <w:div w:id="270089648">
          <w:marLeft w:val="0"/>
          <w:marRight w:val="0"/>
          <w:marTop w:val="0"/>
          <w:marBottom w:val="0"/>
          <w:divBdr>
            <w:top w:val="none" w:sz="0" w:space="0" w:color="auto"/>
            <w:left w:val="none" w:sz="0" w:space="0" w:color="auto"/>
            <w:bottom w:val="none" w:sz="0" w:space="0" w:color="auto"/>
            <w:right w:val="none" w:sz="0" w:space="0" w:color="auto"/>
          </w:divBdr>
        </w:div>
      </w:divsChild>
    </w:div>
    <w:div w:id="457529272">
      <w:bodyDiv w:val="1"/>
      <w:marLeft w:val="0"/>
      <w:marRight w:val="0"/>
      <w:marTop w:val="0"/>
      <w:marBottom w:val="0"/>
      <w:divBdr>
        <w:top w:val="none" w:sz="0" w:space="0" w:color="auto"/>
        <w:left w:val="none" w:sz="0" w:space="0" w:color="auto"/>
        <w:bottom w:val="none" w:sz="0" w:space="0" w:color="auto"/>
        <w:right w:val="none" w:sz="0" w:space="0" w:color="auto"/>
      </w:divBdr>
      <w:divsChild>
        <w:div w:id="42751666">
          <w:marLeft w:val="0"/>
          <w:marRight w:val="0"/>
          <w:marTop w:val="0"/>
          <w:marBottom w:val="0"/>
          <w:divBdr>
            <w:top w:val="none" w:sz="0" w:space="0" w:color="auto"/>
            <w:left w:val="none" w:sz="0" w:space="0" w:color="auto"/>
            <w:bottom w:val="none" w:sz="0" w:space="0" w:color="auto"/>
            <w:right w:val="none" w:sz="0" w:space="0" w:color="auto"/>
          </w:divBdr>
        </w:div>
      </w:divsChild>
    </w:div>
    <w:div w:id="472216509">
      <w:bodyDiv w:val="1"/>
      <w:marLeft w:val="0"/>
      <w:marRight w:val="0"/>
      <w:marTop w:val="0"/>
      <w:marBottom w:val="0"/>
      <w:divBdr>
        <w:top w:val="none" w:sz="0" w:space="0" w:color="auto"/>
        <w:left w:val="none" w:sz="0" w:space="0" w:color="auto"/>
        <w:bottom w:val="none" w:sz="0" w:space="0" w:color="auto"/>
        <w:right w:val="none" w:sz="0" w:space="0" w:color="auto"/>
      </w:divBdr>
      <w:divsChild>
        <w:div w:id="2051564064">
          <w:marLeft w:val="0"/>
          <w:marRight w:val="0"/>
          <w:marTop w:val="0"/>
          <w:marBottom w:val="0"/>
          <w:divBdr>
            <w:top w:val="none" w:sz="0" w:space="0" w:color="auto"/>
            <w:left w:val="none" w:sz="0" w:space="0" w:color="auto"/>
            <w:bottom w:val="none" w:sz="0" w:space="0" w:color="auto"/>
            <w:right w:val="none" w:sz="0" w:space="0" w:color="auto"/>
          </w:divBdr>
        </w:div>
      </w:divsChild>
    </w:div>
    <w:div w:id="1706983253">
      <w:bodyDiv w:val="1"/>
      <w:marLeft w:val="0"/>
      <w:marRight w:val="0"/>
      <w:marTop w:val="0"/>
      <w:marBottom w:val="0"/>
      <w:divBdr>
        <w:top w:val="none" w:sz="0" w:space="0" w:color="auto"/>
        <w:left w:val="none" w:sz="0" w:space="0" w:color="auto"/>
        <w:bottom w:val="none" w:sz="0" w:space="0" w:color="auto"/>
        <w:right w:val="none" w:sz="0" w:space="0" w:color="auto"/>
      </w:divBdr>
      <w:divsChild>
        <w:div w:id="1712029484">
          <w:marLeft w:val="0"/>
          <w:marRight w:val="0"/>
          <w:marTop w:val="0"/>
          <w:marBottom w:val="0"/>
          <w:divBdr>
            <w:top w:val="none" w:sz="0" w:space="0" w:color="auto"/>
            <w:left w:val="none" w:sz="0" w:space="0" w:color="auto"/>
            <w:bottom w:val="none" w:sz="0" w:space="0" w:color="auto"/>
            <w:right w:val="none" w:sz="0" w:space="0" w:color="auto"/>
          </w:divBdr>
        </w:div>
      </w:divsChild>
    </w:div>
    <w:div w:id="1865898618">
      <w:bodyDiv w:val="1"/>
      <w:marLeft w:val="0"/>
      <w:marRight w:val="0"/>
      <w:marTop w:val="0"/>
      <w:marBottom w:val="0"/>
      <w:divBdr>
        <w:top w:val="none" w:sz="0" w:space="0" w:color="auto"/>
        <w:left w:val="none" w:sz="0" w:space="0" w:color="auto"/>
        <w:bottom w:val="none" w:sz="0" w:space="0" w:color="auto"/>
        <w:right w:val="none" w:sz="0" w:space="0" w:color="auto"/>
      </w:divBdr>
      <w:divsChild>
        <w:div w:id="170024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1761</Words>
  <Characters>10041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2020-04-17T20:40:00Z</dcterms:created>
  <dcterms:modified xsi:type="dcterms:W3CDTF">2020-04-17T20:40:00Z</dcterms:modified>
</cp:coreProperties>
</file>